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5A" w:rsidRDefault="00FA005A" w:rsidP="00E93F13">
      <w:pPr>
        <w:rPr>
          <w:color w:val="0D124A"/>
        </w:rPr>
      </w:pPr>
    </w:p>
    <w:p w:rsidR="00D63CAE" w:rsidRPr="002C35C1" w:rsidRDefault="00D63CAE" w:rsidP="00E93F13">
      <w:pPr>
        <w:rPr>
          <w:color w:val="244061" w:themeColor="accent1" w:themeShade="80"/>
          <w:sz w:val="40"/>
          <w:szCs w:val="40"/>
        </w:rPr>
      </w:pPr>
      <w:r w:rsidRPr="002C35C1">
        <w:rPr>
          <w:color w:val="244061" w:themeColor="accent1" w:themeShade="80"/>
          <w:sz w:val="40"/>
          <w:szCs w:val="40"/>
        </w:rPr>
        <w:t>Brexit revisited</w:t>
      </w:r>
    </w:p>
    <w:p w:rsidR="00D63CAE" w:rsidRPr="002C35C1" w:rsidRDefault="00D63CAE" w:rsidP="00E93F13">
      <w:pPr>
        <w:rPr>
          <w:color w:val="244061" w:themeColor="accent1" w:themeShade="80"/>
        </w:rPr>
      </w:pPr>
    </w:p>
    <w:p w:rsidR="00E60D3E" w:rsidRPr="002C35C1" w:rsidRDefault="00E60D3E" w:rsidP="00E60D3E">
      <w:pPr>
        <w:rPr>
          <w:rFonts w:asciiTheme="minorHAnsi" w:hAnsiTheme="minorHAnsi"/>
          <w:color w:val="244061" w:themeColor="accent1" w:themeShade="80"/>
        </w:rPr>
      </w:pPr>
      <w:r w:rsidRPr="002C35C1">
        <w:rPr>
          <w:rFonts w:asciiTheme="minorHAnsi" w:hAnsiTheme="minorHAnsi"/>
          <w:color w:val="244061" w:themeColor="accent1" w:themeShade="80"/>
        </w:rPr>
        <w:t xml:space="preserve">Bidfood has been shaping plans for some time to ensure that we are in as strong a position as possible to mitigate against potential impacts to our customers, our suppliers, our people, and our business, that may arise as we prepare to leave the EU. </w:t>
      </w:r>
    </w:p>
    <w:p w:rsidR="00E60D3E" w:rsidRPr="002C35C1" w:rsidRDefault="00E60D3E" w:rsidP="00E60D3E">
      <w:pPr>
        <w:rPr>
          <w:rFonts w:asciiTheme="minorHAnsi" w:hAnsiTheme="minorHAnsi"/>
          <w:color w:val="244061" w:themeColor="accent1" w:themeShade="80"/>
        </w:rPr>
      </w:pPr>
    </w:p>
    <w:p w:rsidR="00E93F13" w:rsidRPr="002C35C1" w:rsidRDefault="00E60D3E" w:rsidP="00E93F13">
      <w:p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>Our aim has been to show</w:t>
      </w:r>
      <w:r w:rsidR="00E93F13" w:rsidRPr="002C35C1">
        <w:rPr>
          <w:color w:val="244061" w:themeColor="accent1" w:themeShade="80"/>
        </w:rPr>
        <w:t xml:space="preserve"> our full </w:t>
      </w:r>
      <w:r w:rsidR="00D63CAE" w:rsidRPr="002C35C1">
        <w:rPr>
          <w:color w:val="244061" w:themeColor="accent1" w:themeShade="80"/>
          <w:lang w:eastAsia="en-GB"/>
        </w:rPr>
        <w:t>commi</w:t>
      </w:r>
      <w:r w:rsidR="00E93F13" w:rsidRPr="002C35C1">
        <w:rPr>
          <w:color w:val="244061" w:themeColor="accent1" w:themeShade="80"/>
          <w:lang w:eastAsia="en-GB"/>
        </w:rPr>
        <w:t>t</w:t>
      </w:r>
      <w:r w:rsidR="00D63CAE" w:rsidRPr="002C35C1">
        <w:rPr>
          <w:color w:val="244061" w:themeColor="accent1" w:themeShade="80"/>
          <w:lang w:eastAsia="en-GB"/>
        </w:rPr>
        <w:t>m</w:t>
      </w:r>
      <w:r w:rsidR="00E93F13" w:rsidRPr="002C35C1">
        <w:rPr>
          <w:color w:val="244061" w:themeColor="accent1" w:themeShade="80"/>
          <w:lang w:eastAsia="en-GB"/>
        </w:rPr>
        <w:t>e</w:t>
      </w:r>
      <w:r w:rsidR="00D63CAE" w:rsidRPr="002C35C1">
        <w:rPr>
          <w:color w:val="244061" w:themeColor="accent1" w:themeShade="80"/>
          <w:lang w:eastAsia="en-GB"/>
        </w:rPr>
        <w:t>nt</w:t>
      </w:r>
      <w:r w:rsidR="00E93F13" w:rsidRPr="002C35C1">
        <w:rPr>
          <w:color w:val="244061" w:themeColor="accent1" w:themeShade="80"/>
          <w:lang w:eastAsia="en-GB"/>
        </w:rPr>
        <w:t xml:space="preserve"> to supporting our customers, and to delivering service excellence at the very highest levels, by p</w:t>
      </w:r>
      <w:r w:rsidR="00E93F13" w:rsidRPr="002C35C1">
        <w:rPr>
          <w:color w:val="244061" w:themeColor="accent1" w:themeShade="80"/>
        </w:rPr>
        <w:t xml:space="preserve">roviding them with clarity and the confidence that we will maintain continuity of supply to them in the event that no deal is agreed with the EU. </w:t>
      </w:r>
    </w:p>
    <w:p w:rsidR="00FA005A" w:rsidRPr="002C35C1" w:rsidRDefault="00FA005A" w:rsidP="00E93F13">
      <w:pPr>
        <w:rPr>
          <w:color w:val="244061" w:themeColor="accent1" w:themeShade="80"/>
        </w:rPr>
      </w:pPr>
    </w:p>
    <w:p w:rsidR="00FA005A" w:rsidRPr="002C35C1" w:rsidRDefault="00FA005A" w:rsidP="00E93F13">
      <w:p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>Earlier in the year our teams</w:t>
      </w:r>
      <w:r w:rsidR="00E60D3E" w:rsidRPr="002C35C1">
        <w:rPr>
          <w:color w:val="244061" w:themeColor="accent1" w:themeShade="80"/>
        </w:rPr>
        <w:t xml:space="preserve">, </w:t>
      </w:r>
      <w:r w:rsidRPr="002C35C1">
        <w:rPr>
          <w:color w:val="244061" w:themeColor="accent1" w:themeShade="80"/>
        </w:rPr>
        <w:t xml:space="preserve">seven different </w:t>
      </w:r>
      <w:proofErr w:type="spellStart"/>
      <w:r w:rsidRPr="002C35C1">
        <w:rPr>
          <w:color w:val="244061" w:themeColor="accent1" w:themeShade="80"/>
        </w:rPr>
        <w:t>workstreams</w:t>
      </w:r>
      <w:proofErr w:type="spellEnd"/>
      <w:r w:rsidR="00E60D3E" w:rsidRPr="002C35C1">
        <w:rPr>
          <w:color w:val="244061" w:themeColor="accent1" w:themeShade="80"/>
        </w:rPr>
        <w:t xml:space="preserve"> in fact</w:t>
      </w:r>
      <w:r w:rsidRPr="002C35C1">
        <w:rPr>
          <w:color w:val="244061" w:themeColor="accent1" w:themeShade="80"/>
        </w:rPr>
        <w:t xml:space="preserve">, engaged in a </w:t>
      </w:r>
      <w:r w:rsidR="00E60D3E" w:rsidRPr="002C35C1">
        <w:rPr>
          <w:color w:val="244061" w:themeColor="accent1" w:themeShade="80"/>
        </w:rPr>
        <w:t xml:space="preserve">considerable amount of </w:t>
      </w:r>
      <w:r w:rsidRPr="002C35C1">
        <w:rPr>
          <w:color w:val="244061" w:themeColor="accent1" w:themeShade="80"/>
        </w:rPr>
        <w:t xml:space="preserve">work to </w:t>
      </w:r>
      <w:r w:rsidR="00E60D3E" w:rsidRPr="002C35C1">
        <w:rPr>
          <w:color w:val="244061" w:themeColor="accent1" w:themeShade="80"/>
        </w:rPr>
        <w:t xml:space="preserve">build robust preparation plans </w:t>
      </w:r>
      <w:r w:rsidRPr="002C35C1">
        <w:rPr>
          <w:color w:val="244061" w:themeColor="accent1" w:themeShade="80"/>
        </w:rPr>
        <w:t>for</w:t>
      </w:r>
      <w:r w:rsidR="002C35C1" w:rsidRPr="002C35C1">
        <w:rPr>
          <w:color w:val="244061" w:themeColor="accent1" w:themeShade="80"/>
        </w:rPr>
        <w:t xml:space="preserve"> Brexit, and in particular a no-</w:t>
      </w:r>
      <w:r w:rsidRPr="002C35C1">
        <w:rPr>
          <w:color w:val="244061" w:themeColor="accent1" w:themeShade="80"/>
        </w:rPr>
        <w:t>deal exit from the EU</w:t>
      </w:r>
      <w:r w:rsidR="00E60D3E" w:rsidRPr="002C35C1">
        <w:rPr>
          <w:color w:val="244061" w:themeColor="accent1" w:themeShade="80"/>
        </w:rPr>
        <w:t>:</w:t>
      </w:r>
      <w:r w:rsidRPr="002C35C1">
        <w:rPr>
          <w:color w:val="244061" w:themeColor="accent1" w:themeShade="80"/>
        </w:rPr>
        <w:t xml:space="preserve"> </w:t>
      </w:r>
    </w:p>
    <w:p w:rsidR="00FA005A" w:rsidRPr="002C35C1" w:rsidRDefault="00FA005A" w:rsidP="00FA005A">
      <w:pPr>
        <w:pStyle w:val="ListParagraph"/>
        <w:numPr>
          <w:ilvl w:val="0"/>
          <w:numId w:val="4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>we worked closely with, and provided advice to our core range suppliers about planning</w:t>
      </w:r>
      <w:r w:rsidR="00E60D3E" w:rsidRPr="002C35C1">
        <w:rPr>
          <w:color w:val="244061" w:themeColor="accent1" w:themeShade="80"/>
        </w:rPr>
        <w:t>,</w:t>
      </w:r>
      <w:r w:rsidRPr="002C35C1">
        <w:rPr>
          <w:color w:val="244061" w:themeColor="accent1" w:themeShade="80"/>
        </w:rPr>
        <w:t xml:space="preserve"> risk evaluation </w:t>
      </w:r>
      <w:r w:rsidR="00E60D3E" w:rsidRPr="002C35C1">
        <w:rPr>
          <w:color w:val="244061" w:themeColor="accent1" w:themeShade="80"/>
        </w:rPr>
        <w:t xml:space="preserve">and </w:t>
      </w:r>
      <w:r w:rsidRPr="002C35C1">
        <w:rPr>
          <w:color w:val="244061" w:themeColor="accent1" w:themeShade="80"/>
        </w:rPr>
        <w:t>so as to limit any risk to product availability</w:t>
      </w:r>
    </w:p>
    <w:p w:rsidR="00FA005A" w:rsidRPr="002C35C1" w:rsidRDefault="00FA005A" w:rsidP="00FA005A">
      <w:pPr>
        <w:pStyle w:val="ListParagraph"/>
        <w:numPr>
          <w:ilvl w:val="0"/>
          <w:numId w:val="4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>we’ve risk-reviewed all our core products and built contingency stocks where we feel it is appropriate, securing two additional warehouses in the UK to house these</w:t>
      </w:r>
    </w:p>
    <w:p w:rsidR="00FA005A" w:rsidRPr="002C35C1" w:rsidRDefault="00FA005A" w:rsidP="00FA005A">
      <w:pPr>
        <w:pStyle w:val="ListParagraph"/>
        <w:numPr>
          <w:ilvl w:val="0"/>
          <w:numId w:val="4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 xml:space="preserve">we have been working closely throughout the period with the EU, </w:t>
      </w:r>
      <w:r w:rsidR="002C35C1" w:rsidRPr="002C35C1">
        <w:rPr>
          <w:color w:val="244061" w:themeColor="accent1" w:themeShade="80"/>
        </w:rPr>
        <w:t>and UK Customers representatives</w:t>
      </w:r>
      <w:r w:rsidRPr="002C35C1">
        <w:rPr>
          <w:color w:val="244061" w:themeColor="accent1" w:themeShade="80"/>
        </w:rPr>
        <w:t xml:space="preserve"> to understand their requirements and have successfully completed trial reviews</w:t>
      </w:r>
    </w:p>
    <w:p w:rsidR="002C35C1" w:rsidRPr="002C35C1" w:rsidRDefault="002C35C1" w:rsidP="00FA005A">
      <w:pPr>
        <w:pStyle w:val="ListParagraph"/>
        <w:numPr>
          <w:ilvl w:val="0"/>
          <w:numId w:val="4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 xml:space="preserve">we’ve also engaged directly with </w:t>
      </w:r>
      <w:r w:rsidRPr="002C35C1">
        <w:rPr>
          <w:rFonts w:asciiTheme="minorHAnsi" w:hAnsiTheme="minorHAnsi"/>
          <w:color w:val="244061" w:themeColor="accent1" w:themeShade="80"/>
        </w:rPr>
        <w:t xml:space="preserve">Government departments, the NHS, EU and UK Customs, as well as consulting with </w:t>
      </w:r>
      <w:proofErr w:type="spellStart"/>
      <w:r w:rsidRPr="002C35C1">
        <w:rPr>
          <w:rFonts w:asciiTheme="minorHAnsi" w:hAnsiTheme="minorHAnsi"/>
          <w:color w:val="244061" w:themeColor="accent1" w:themeShade="80"/>
        </w:rPr>
        <w:t>UKHospitality</w:t>
      </w:r>
      <w:proofErr w:type="spellEnd"/>
      <w:r w:rsidRPr="002C35C1">
        <w:rPr>
          <w:rFonts w:asciiTheme="minorHAnsi" w:hAnsiTheme="minorHAnsi"/>
          <w:color w:val="244061" w:themeColor="accent1" w:themeShade="80"/>
        </w:rPr>
        <w:t xml:space="preserve"> and the Federation of Wholesale Distribution.</w:t>
      </w:r>
    </w:p>
    <w:p w:rsidR="00FA005A" w:rsidRPr="002C35C1" w:rsidRDefault="00FA005A" w:rsidP="00E93F13">
      <w:pPr>
        <w:rPr>
          <w:color w:val="244061" w:themeColor="accent1" w:themeShade="80"/>
        </w:rPr>
      </w:pPr>
    </w:p>
    <w:p w:rsidR="00E93F13" w:rsidRPr="002C35C1" w:rsidRDefault="00FA005A" w:rsidP="00D63CAE">
      <w:p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>When the dead</w:t>
      </w:r>
      <w:r w:rsidR="00D63CAE" w:rsidRPr="002C35C1">
        <w:rPr>
          <w:color w:val="244061" w:themeColor="accent1" w:themeShade="80"/>
        </w:rPr>
        <w:t>l</w:t>
      </w:r>
      <w:r w:rsidRPr="002C35C1">
        <w:rPr>
          <w:color w:val="244061" w:themeColor="accent1" w:themeShade="80"/>
        </w:rPr>
        <w:t>ine for Brexit extended, like many other food businesses</w:t>
      </w:r>
      <w:r w:rsidR="00D63CAE" w:rsidRPr="002C35C1">
        <w:rPr>
          <w:color w:val="244061" w:themeColor="accent1" w:themeShade="80"/>
        </w:rPr>
        <w:t xml:space="preserve">, </w:t>
      </w:r>
      <w:r w:rsidR="002C35C1">
        <w:rPr>
          <w:color w:val="244061" w:themeColor="accent1" w:themeShade="80"/>
        </w:rPr>
        <w:t>because of</w:t>
      </w:r>
      <w:r w:rsidR="00D63CAE" w:rsidRPr="002C35C1">
        <w:rPr>
          <w:color w:val="244061" w:themeColor="accent1" w:themeShade="80"/>
        </w:rPr>
        <w:t xml:space="preserve"> shelf life requirements, we had to clea</w:t>
      </w:r>
      <w:r w:rsidR="002C35C1">
        <w:rPr>
          <w:color w:val="244061" w:themeColor="accent1" w:themeShade="80"/>
        </w:rPr>
        <w:t>r much of our contingency stock</w:t>
      </w:r>
      <w:r w:rsidR="00D63CAE" w:rsidRPr="002C35C1">
        <w:rPr>
          <w:color w:val="244061" w:themeColor="accent1" w:themeShade="80"/>
        </w:rPr>
        <w:t>.  However, now that</w:t>
      </w:r>
      <w:r w:rsidRPr="002C35C1">
        <w:rPr>
          <w:color w:val="244061" w:themeColor="accent1" w:themeShade="80"/>
        </w:rPr>
        <w:t xml:space="preserve"> the 31</w:t>
      </w:r>
      <w:r w:rsidRPr="002C35C1">
        <w:rPr>
          <w:color w:val="244061" w:themeColor="accent1" w:themeShade="80"/>
          <w:vertAlign w:val="superscript"/>
        </w:rPr>
        <w:t>st</w:t>
      </w:r>
      <w:r w:rsidRPr="002C35C1">
        <w:rPr>
          <w:color w:val="244061" w:themeColor="accent1" w:themeShade="80"/>
        </w:rPr>
        <w:t xml:space="preserve"> of October appears to be the date when we really will exit the EU, potentially without a deal, we </w:t>
      </w:r>
      <w:r w:rsidR="00D63CAE" w:rsidRPr="002C35C1">
        <w:rPr>
          <w:color w:val="244061" w:themeColor="accent1" w:themeShade="80"/>
        </w:rPr>
        <w:t>are no</w:t>
      </w:r>
      <w:r w:rsidR="002C35C1">
        <w:rPr>
          <w:color w:val="244061" w:themeColor="accent1" w:themeShade="80"/>
        </w:rPr>
        <w:t>w</w:t>
      </w:r>
      <w:r w:rsidR="00D63CAE" w:rsidRPr="002C35C1">
        <w:rPr>
          <w:color w:val="244061" w:themeColor="accent1" w:themeShade="80"/>
        </w:rPr>
        <w:t xml:space="preserve"> fully engaged in re-activating our previous, comprehensive planning processes.</w:t>
      </w:r>
    </w:p>
    <w:p w:rsidR="00E93F13" w:rsidRPr="002C35C1" w:rsidRDefault="00E93F13" w:rsidP="00E93F13">
      <w:pPr>
        <w:rPr>
          <w:color w:val="244061" w:themeColor="accent1" w:themeShade="80"/>
        </w:rPr>
      </w:pPr>
    </w:p>
    <w:p w:rsidR="00D63CAE" w:rsidRPr="002C35C1" w:rsidRDefault="00D63CAE" w:rsidP="00E93F13">
      <w:p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>So what are we putting into effect now that ensure continuity of supply to our customers?</w:t>
      </w:r>
    </w:p>
    <w:p w:rsidR="00D63CAE" w:rsidRPr="002C35C1" w:rsidRDefault="00D63CAE" w:rsidP="00E93F13">
      <w:pPr>
        <w:rPr>
          <w:color w:val="244061" w:themeColor="accent1" w:themeShade="80"/>
        </w:rPr>
      </w:pPr>
    </w:p>
    <w:p w:rsidR="00AF3BA1" w:rsidRPr="002C35C1" w:rsidRDefault="00AF3BA1" w:rsidP="00AF3BA1">
      <w:pPr>
        <w:pStyle w:val="ListParagraph"/>
        <w:numPr>
          <w:ilvl w:val="0"/>
          <w:numId w:val="5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 xml:space="preserve">We have written again to </w:t>
      </w:r>
      <w:r w:rsidR="00E93F13" w:rsidRPr="002C35C1">
        <w:rPr>
          <w:color w:val="244061" w:themeColor="accent1" w:themeShade="80"/>
        </w:rPr>
        <w:t xml:space="preserve">all </w:t>
      </w:r>
      <w:r w:rsidRPr="002C35C1">
        <w:rPr>
          <w:color w:val="244061" w:themeColor="accent1" w:themeShade="80"/>
        </w:rPr>
        <w:t xml:space="preserve">our </w:t>
      </w:r>
      <w:r w:rsidR="00E93F13" w:rsidRPr="002C35C1">
        <w:rPr>
          <w:color w:val="244061" w:themeColor="accent1" w:themeShade="80"/>
        </w:rPr>
        <w:t xml:space="preserve">core range suppliers with a series questions </w:t>
      </w:r>
      <w:r w:rsidR="003B2C8B">
        <w:rPr>
          <w:color w:val="244061" w:themeColor="accent1" w:themeShade="80"/>
        </w:rPr>
        <w:t xml:space="preserve">and advice </w:t>
      </w:r>
      <w:bookmarkStart w:id="0" w:name="_GoBack"/>
      <w:bookmarkEnd w:id="0"/>
      <w:r w:rsidRPr="002C35C1">
        <w:rPr>
          <w:color w:val="244061" w:themeColor="accent1" w:themeShade="80"/>
        </w:rPr>
        <w:t>about their</w:t>
      </w:r>
      <w:r w:rsidR="00E93F13" w:rsidRPr="002C35C1">
        <w:rPr>
          <w:color w:val="244061" w:themeColor="accent1" w:themeShade="80"/>
        </w:rPr>
        <w:t xml:space="preserve"> the Brexit preparations. </w:t>
      </w:r>
    </w:p>
    <w:p w:rsidR="00AF3BA1" w:rsidRPr="002C35C1" w:rsidRDefault="00AF3BA1" w:rsidP="00AF3BA1">
      <w:pPr>
        <w:pStyle w:val="ListParagraph"/>
        <w:numPr>
          <w:ilvl w:val="0"/>
          <w:numId w:val="5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>We will translate their responses into a red/amber/green risk assessment in order to flag any potential availability issues, particularly with cross-order movements of stock, following up with specific suppliers where relevant</w:t>
      </w:r>
      <w:r w:rsidR="002C35C1">
        <w:rPr>
          <w:color w:val="244061" w:themeColor="accent1" w:themeShade="80"/>
        </w:rPr>
        <w:t>.</w:t>
      </w:r>
      <w:r w:rsidR="00E93F13" w:rsidRPr="002C35C1">
        <w:rPr>
          <w:color w:val="244061" w:themeColor="accent1" w:themeShade="80"/>
        </w:rPr>
        <w:t xml:space="preserve"> </w:t>
      </w:r>
    </w:p>
    <w:p w:rsidR="00AF3BA1" w:rsidRPr="002C35C1" w:rsidRDefault="00AF3BA1" w:rsidP="00AF3BA1">
      <w:pPr>
        <w:pStyle w:val="ListParagraph"/>
        <w:numPr>
          <w:ilvl w:val="0"/>
          <w:numId w:val="5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 xml:space="preserve">We will update our core range risk reports overlaying any new products that will be listed in our next product catalogue, </w:t>
      </w:r>
      <w:r w:rsidR="00982C10" w:rsidRPr="002C35C1">
        <w:rPr>
          <w:color w:val="244061" w:themeColor="accent1" w:themeShade="80"/>
        </w:rPr>
        <w:t xml:space="preserve">key seasonal lines that will come on-stream, </w:t>
      </w:r>
      <w:r w:rsidRPr="002C35C1">
        <w:rPr>
          <w:color w:val="244061" w:themeColor="accent1" w:themeShade="80"/>
        </w:rPr>
        <w:t xml:space="preserve">and seasonal variances in demand </w:t>
      </w:r>
      <w:r w:rsidR="00982C10" w:rsidRPr="002C35C1">
        <w:rPr>
          <w:color w:val="244061" w:themeColor="accent1" w:themeShade="80"/>
        </w:rPr>
        <w:t>across our range</w:t>
      </w:r>
      <w:r w:rsidR="002C35C1">
        <w:rPr>
          <w:color w:val="244061" w:themeColor="accent1" w:themeShade="80"/>
        </w:rPr>
        <w:t>.</w:t>
      </w:r>
    </w:p>
    <w:p w:rsidR="00AF3BA1" w:rsidRPr="002C35C1" w:rsidRDefault="00AF3BA1" w:rsidP="00AF3BA1">
      <w:pPr>
        <w:pStyle w:val="ListParagraph"/>
        <w:numPr>
          <w:ilvl w:val="0"/>
          <w:numId w:val="5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>Where there are new lines coming into the range where availability appears to be at risk, we will identify relevant lead alternatives</w:t>
      </w:r>
      <w:r w:rsidR="002C35C1">
        <w:rPr>
          <w:color w:val="244061" w:themeColor="accent1" w:themeShade="80"/>
        </w:rPr>
        <w:t>.</w:t>
      </w:r>
    </w:p>
    <w:p w:rsidR="00E93F13" w:rsidRPr="002C35C1" w:rsidRDefault="00982C10" w:rsidP="00AF3BA1">
      <w:pPr>
        <w:pStyle w:val="ListParagraph"/>
        <w:numPr>
          <w:ilvl w:val="0"/>
          <w:numId w:val="5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 xml:space="preserve">On the basis of this risk assessment, we will attribute </w:t>
      </w:r>
      <w:r w:rsidR="002C35C1">
        <w:rPr>
          <w:color w:val="244061" w:themeColor="accent1" w:themeShade="80"/>
        </w:rPr>
        <w:t>for</w:t>
      </w:r>
      <w:r w:rsidRPr="002C35C1">
        <w:rPr>
          <w:color w:val="244061" w:themeColor="accent1" w:themeShade="80"/>
        </w:rPr>
        <w:t xml:space="preserve"> each product an availability risk level, as well as factoring in criticality of produ</w:t>
      </w:r>
      <w:r w:rsidR="00E85607">
        <w:rPr>
          <w:color w:val="244061" w:themeColor="accent1" w:themeShade="80"/>
        </w:rPr>
        <w:t>ct, shelf-</w:t>
      </w:r>
      <w:r w:rsidRPr="002C35C1">
        <w:rPr>
          <w:color w:val="244061" w:themeColor="accent1" w:themeShade="80"/>
        </w:rPr>
        <w:t xml:space="preserve">life and seasonality considerations, tariff impact and potential alternatives. </w:t>
      </w:r>
    </w:p>
    <w:p w:rsidR="00E93F13" w:rsidRPr="002C35C1" w:rsidRDefault="00982C10" w:rsidP="00AF3BA1">
      <w:pPr>
        <w:pStyle w:val="ListParagraph"/>
        <w:numPr>
          <w:ilvl w:val="0"/>
          <w:numId w:val="5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>Our aim is to complete this a</w:t>
      </w:r>
      <w:r w:rsidR="00E93F13" w:rsidRPr="002C35C1">
        <w:rPr>
          <w:color w:val="244061" w:themeColor="accent1" w:themeShade="80"/>
        </w:rPr>
        <w:t xml:space="preserve">ssessment </w:t>
      </w:r>
      <w:r w:rsidRPr="002C35C1">
        <w:rPr>
          <w:color w:val="244061" w:themeColor="accent1" w:themeShade="80"/>
        </w:rPr>
        <w:t xml:space="preserve">by the end of July. This will </w:t>
      </w:r>
      <w:r w:rsidR="002C35C1" w:rsidRPr="002C35C1">
        <w:rPr>
          <w:color w:val="244061" w:themeColor="accent1" w:themeShade="80"/>
        </w:rPr>
        <w:t>form</w:t>
      </w:r>
      <w:r w:rsidRPr="002C35C1">
        <w:rPr>
          <w:color w:val="244061" w:themeColor="accent1" w:themeShade="80"/>
        </w:rPr>
        <w:t xml:space="preserve"> the basis for detailed action plans that will </w:t>
      </w:r>
      <w:r w:rsidR="002C35C1" w:rsidRPr="002C35C1">
        <w:rPr>
          <w:color w:val="244061" w:themeColor="accent1" w:themeShade="80"/>
        </w:rPr>
        <w:t xml:space="preserve">our </w:t>
      </w:r>
      <w:r w:rsidRPr="002C35C1">
        <w:rPr>
          <w:color w:val="244061" w:themeColor="accent1" w:themeShade="80"/>
        </w:rPr>
        <w:t>drive next steps on putting in place required con</w:t>
      </w:r>
      <w:r w:rsidR="002C35C1" w:rsidRPr="002C35C1">
        <w:rPr>
          <w:color w:val="244061" w:themeColor="accent1" w:themeShade="80"/>
        </w:rPr>
        <w:t>tingency stocks and warehousing storage. We anticipate holding both additional stocks within our existing estate and also at two additional site</w:t>
      </w:r>
      <w:r w:rsidR="00E85607">
        <w:rPr>
          <w:color w:val="244061" w:themeColor="accent1" w:themeShade="80"/>
        </w:rPr>
        <w:t>s</w:t>
      </w:r>
      <w:r w:rsidR="002C35C1" w:rsidRPr="002C35C1">
        <w:rPr>
          <w:color w:val="244061" w:themeColor="accent1" w:themeShade="80"/>
        </w:rPr>
        <w:t xml:space="preserve"> </w:t>
      </w:r>
      <w:r w:rsidR="00E85607">
        <w:rPr>
          <w:color w:val="244061" w:themeColor="accent1" w:themeShade="80"/>
        </w:rPr>
        <w:t xml:space="preserve">we have </w:t>
      </w:r>
      <w:r w:rsidR="002C35C1" w:rsidRPr="002C35C1">
        <w:rPr>
          <w:color w:val="244061" w:themeColor="accent1" w:themeShade="80"/>
        </w:rPr>
        <w:t xml:space="preserve">previously secured for additional Brexit capacity. </w:t>
      </w:r>
    </w:p>
    <w:p w:rsidR="00E93F13" w:rsidRDefault="00E93F13" w:rsidP="002C35C1">
      <w:pPr>
        <w:pStyle w:val="ListParagraph"/>
        <w:numPr>
          <w:ilvl w:val="0"/>
          <w:numId w:val="5"/>
        </w:num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lastRenderedPageBreak/>
        <w:t>As we approach Brexit date</w:t>
      </w:r>
      <w:r w:rsidR="002C35C1" w:rsidRPr="002C35C1">
        <w:rPr>
          <w:color w:val="244061" w:themeColor="accent1" w:themeShade="80"/>
        </w:rPr>
        <w:t xml:space="preserve">, we will similarly re-visit our plans for shorter shelf-life products and identify proposed solutions and sources for these.  We will also reactivate our previous work on our own imports. </w:t>
      </w:r>
    </w:p>
    <w:p w:rsidR="00E85607" w:rsidRPr="002C35C1" w:rsidRDefault="00E85607" w:rsidP="00E85607">
      <w:pPr>
        <w:pStyle w:val="ListParagraph"/>
        <w:rPr>
          <w:color w:val="244061" w:themeColor="accent1" w:themeShade="80"/>
        </w:rPr>
      </w:pPr>
    </w:p>
    <w:p w:rsidR="00E93F13" w:rsidRDefault="002C35C1" w:rsidP="00E93F13">
      <w:pPr>
        <w:rPr>
          <w:color w:val="244061" w:themeColor="accent1" w:themeShade="80"/>
        </w:rPr>
      </w:pPr>
      <w:r w:rsidRPr="002C35C1">
        <w:rPr>
          <w:color w:val="244061" w:themeColor="accent1" w:themeShade="80"/>
        </w:rPr>
        <w:t xml:space="preserve">N.B. </w:t>
      </w:r>
      <w:r w:rsidR="00AF3BA1" w:rsidRPr="002C35C1">
        <w:rPr>
          <w:color w:val="244061" w:themeColor="accent1" w:themeShade="80"/>
        </w:rPr>
        <w:t xml:space="preserve">Our focus across all of </w:t>
      </w:r>
      <w:r w:rsidRPr="002C35C1">
        <w:rPr>
          <w:color w:val="244061" w:themeColor="accent1" w:themeShade="80"/>
        </w:rPr>
        <w:t>the activity outlined above</w:t>
      </w:r>
      <w:r w:rsidR="00AF3BA1" w:rsidRPr="002C35C1">
        <w:rPr>
          <w:color w:val="244061" w:themeColor="accent1" w:themeShade="80"/>
        </w:rPr>
        <w:t xml:space="preserve"> is </w:t>
      </w:r>
      <w:r w:rsidRPr="002C35C1">
        <w:rPr>
          <w:color w:val="244061" w:themeColor="accent1" w:themeShade="80"/>
        </w:rPr>
        <w:t xml:space="preserve">on </w:t>
      </w:r>
      <w:r w:rsidR="00AF3BA1" w:rsidRPr="002C35C1">
        <w:rPr>
          <w:color w:val="244061" w:themeColor="accent1" w:themeShade="80"/>
        </w:rPr>
        <w:t xml:space="preserve">our core range only, and although we are happy to advise on customer nominated lines from the understanding we have of risk levels across suppliers and across categories. </w:t>
      </w:r>
      <w:r w:rsidR="00E93F13" w:rsidRPr="002C35C1">
        <w:rPr>
          <w:color w:val="244061" w:themeColor="accent1" w:themeShade="80"/>
        </w:rPr>
        <w:t xml:space="preserve"> </w:t>
      </w:r>
    </w:p>
    <w:p w:rsidR="0085474E" w:rsidRDefault="0085474E" w:rsidP="00E93F13">
      <w:pPr>
        <w:rPr>
          <w:color w:val="244061" w:themeColor="accent1" w:themeShade="80"/>
        </w:rPr>
      </w:pPr>
    </w:p>
    <w:p w:rsidR="0085474E" w:rsidRDefault="0085474E" w:rsidP="0085474E">
      <w:pPr>
        <w:rPr>
          <w:color w:val="0D124A"/>
          <w:lang w:eastAsia="en-GB"/>
        </w:rPr>
      </w:pPr>
      <w:r w:rsidRPr="00C54897">
        <w:rPr>
          <w:color w:val="0D124A"/>
          <w:lang w:eastAsia="en-GB"/>
        </w:rPr>
        <w:t xml:space="preserve">As </w:t>
      </w:r>
      <w:r>
        <w:rPr>
          <w:color w:val="0D124A"/>
          <w:lang w:eastAsia="en-GB"/>
        </w:rPr>
        <w:t>I</w:t>
      </w:r>
      <w:r w:rsidRPr="00C54897">
        <w:rPr>
          <w:color w:val="0D124A"/>
          <w:lang w:eastAsia="en-GB"/>
        </w:rPr>
        <w:t xml:space="preserve"> have stressed before, please be </w:t>
      </w:r>
      <w:r w:rsidR="00D46C9E">
        <w:rPr>
          <w:color w:val="0D124A"/>
          <w:lang w:eastAsia="en-GB"/>
        </w:rPr>
        <w:t xml:space="preserve">reassured that we have robust and comprehensive plans in place for exiting from the EU, whether or not this is with an agreement in place, and of </w:t>
      </w:r>
      <w:r w:rsidRPr="00C54897">
        <w:rPr>
          <w:color w:val="0D124A"/>
          <w:lang w:eastAsia="en-GB"/>
        </w:rPr>
        <w:t xml:space="preserve">our ongoing commitment to supporting our customers, and to delivering service excellence at the very highest levels. </w:t>
      </w:r>
    </w:p>
    <w:p w:rsidR="0085474E" w:rsidRPr="00C54897" w:rsidRDefault="0085474E" w:rsidP="0085474E">
      <w:pPr>
        <w:rPr>
          <w:rFonts w:cs="Arial"/>
          <w:color w:val="0D124A"/>
        </w:rPr>
      </w:pPr>
    </w:p>
    <w:p w:rsidR="0085474E" w:rsidRPr="000355C4" w:rsidRDefault="0085474E" w:rsidP="0085474E">
      <w:pPr>
        <w:rPr>
          <w:rFonts w:ascii="Century Gothic" w:hAnsi="Century Gothic"/>
          <w:sz w:val="28"/>
          <w:szCs w:val="28"/>
        </w:rPr>
      </w:pPr>
      <w:r w:rsidRPr="00C54897">
        <w:rPr>
          <w:color w:val="0D124A"/>
          <w:sz w:val="28"/>
          <w:szCs w:val="28"/>
          <w:lang w:eastAsia="en-GB"/>
        </w:rPr>
        <w:t>Jim Gouldie</w:t>
      </w:r>
      <w:r w:rsidRPr="00C54897">
        <w:rPr>
          <w:color w:val="0D124A"/>
          <w:sz w:val="24"/>
          <w:szCs w:val="24"/>
          <w:lang w:eastAsia="en-GB"/>
        </w:rPr>
        <w:t>-  Supply Chain &amp; Technical Services Director.</w:t>
      </w:r>
    </w:p>
    <w:p w:rsidR="00E93F13" w:rsidRDefault="00E93F13"/>
    <w:sectPr w:rsidR="00E93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B3A"/>
    <w:multiLevelType w:val="hybridMultilevel"/>
    <w:tmpl w:val="72DCF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77C5E"/>
    <w:multiLevelType w:val="hybridMultilevel"/>
    <w:tmpl w:val="E8325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F6C47"/>
    <w:multiLevelType w:val="hybridMultilevel"/>
    <w:tmpl w:val="5968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41903"/>
    <w:multiLevelType w:val="hybridMultilevel"/>
    <w:tmpl w:val="7B82C6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13"/>
    <w:rsid w:val="002C35C1"/>
    <w:rsid w:val="003B2C8B"/>
    <w:rsid w:val="0085474E"/>
    <w:rsid w:val="00982C10"/>
    <w:rsid w:val="00AF3BA1"/>
    <w:rsid w:val="00D33F33"/>
    <w:rsid w:val="00D46C9E"/>
    <w:rsid w:val="00D63CAE"/>
    <w:rsid w:val="00E60D3E"/>
    <w:rsid w:val="00E85607"/>
    <w:rsid w:val="00E93F13"/>
    <w:rsid w:val="00F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1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1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C3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5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5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5C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1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F1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C3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5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5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5C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3663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catherinehinchcliff</dc:creator>
  <cp:lastModifiedBy>catherinehinchcliff</cp:lastModifiedBy>
  <cp:revision>2</cp:revision>
  <dcterms:created xsi:type="dcterms:W3CDTF">2019-07-08T16:35:00Z</dcterms:created>
  <dcterms:modified xsi:type="dcterms:W3CDTF">2019-07-08T16:35:00Z</dcterms:modified>
</cp:coreProperties>
</file>